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Heading1"/>
        <w:numPr>
          <w:ilvl w:val="0"/>
          <w:numId w:val="27"/>
        </w:numPr>
        <w:spacing w:before="120"/>
        <w:ind w:left="357" w:hanging="357"/>
      </w:pPr>
      <w:r w:rsidRPr="00730EC3">
        <w:t xml:space="preserve">Општи део </w:t>
      </w:r>
    </w:p>
    <w:p w14:paraId="198F3E46" w14:textId="076B51A1"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 одoбрених Извођача са аспекта  HSE. По добијању посла, поред обострано потписаног типског Уговора, обострано потписани HSE Споразум представља уговор којим НИС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77777777" w:rsidR="00923AC7" w:rsidRPr="00923AC7" w:rsidRDefault="00923AC7" w:rsidP="00923AC7">
      <w:pPr>
        <w:rPr>
          <w:lang w:val="ru-RU"/>
        </w:rPr>
      </w:pPr>
      <w:r w:rsidRPr="00923AC7">
        <w:rPr>
          <w:lang w:val="ru-RU"/>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Компаније НИС а.д. из области </w:t>
      </w:r>
      <w:r w:rsidRPr="009F4894">
        <w:t>HSE</w:t>
      </w:r>
      <w:r w:rsidRPr="00923AC7">
        <w:rPr>
          <w:lang w:val="ru-RU"/>
        </w:rPr>
        <w:t xml:space="preserve">.  </w:t>
      </w:r>
    </w:p>
    <w:p w14:paraId="7BE206F2" w14:textId="77777777" w:rsidR="00923AC7" w:rsidRPr="00730EC3" w:rsidRDefault="00923AC7" w:rsidP="00BE7641">
      <w:pPr>
        <w:pStyle w:val="Heading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у складу са: </w:t>
      </w:r>
    </w:p>
    <w:p w14:paraId="66AF14C4"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w:t>
      </w:r>
      <w:r w:rsidRPr="009F4894">
        <w:rPr>
          <w:lang w:val="sr-Cyrl-RS"/>
        </w:rPr>
        <w:t>и</w:t>
      </w:r>
      <w:r w:rsidRPr="00923AC7">
        <w:rPr>
          <w:lang w:val="ru-RU"/>
        </w:rPr>
        <w:t xml:space="preserve"> 10/2013</w:t>
      </w:r>
      <w:r w:rsidRPr="009F4894">
        <w:rPr>
          <w:lang w:val="sr-Cyrl-RS"/>
        </w:rPr>
        <w:t>);</w:t>
      </w:r>
    </w:p>
    <w:p w14:paraId="1FBC6B17"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ListParagraph"/>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ListParagraph"/>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E679E6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xml:space="preserve">. Закона о безбедности и здрављу на раду изради: Елаборат о уређењу градилишта, достави исти на увид Сектору за НЅЕ Блока Прерада најмање осам дана пре почетка извођења радова, и извести надлежну инспекцију рада уз пријаву радова. Извођачи </w:t>
      </w:r>
      <w:r w:rsidRPr="009F4894">
        <w:rPr>
          <w:lang w:val="sr-Cyrl-RS"/>
        </w:rPr>
        <w:t xml:space="preserve">су у </w:t>
      </w:r>
      <w:r w:rsidRPr="009F4894">
        <w:rPr>
          <w:lang w:val="sr-Cyrl-RS"/>
        </w:rPr>
        <w:lastRenderedPageBreak/>
        <w:t>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1892210D"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Департману 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UP-09.01.14-005 Мониторинг стања средстава и опреме са аспекта НЅЕ.</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77777777"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у Рафинерији нафте Панчево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Heading1"/>
        <w:numPr>
          <w:ilvl w:val="0"/>
          <w:numId w:val="27"/>
        </w:numPr>
        <w:spacing w:before="120"/>
        <w:ind w:left="357" w:hanging="357"/>
      </w:pPr>
      <w:r w:rsidRPr="00730EC3">
        <w:t>Интерни стандарди</w:t>
      </w:r>
    </w:p>
    <w:p w14:paraId="1779F560" w14:textId="77777777"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НИС а.д. 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0C372DCE"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7B7B5F">
        <w:rPr>
          <w:lang w:val="sr-Cyrl-RS"/>
        </w:rPr>
        <w:t>ХИПП</w:t>
      </w:r>
      <w:r w:rsidR="009A3001">
        <w:rPr>
          <w:lang w:val="ru-RU"/>
        </w:rPr>
        <w:t xml:space="preserve"> Петрохемија </w:t>
      </w:r>
      <w:r w:rsidRPr="00923AC7">
        <w:rPr>
          <w:lang w:val="ru-RU"/>
        </w:rPr>
        <w:t>су:</w:t>
      </w:r>
    </w:p>
    <w:p w14:paraId="3CFD07B0" w14:textId="1719A6FE"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ListParagraph"/>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ListParagraph"/>
        <w:numPr>
          <w:ilvl w:val="0"/>
          <w:numId w:val="20"/>
        </w:numPr>
        <w:ind w:left="714" w:hanging="357"/>
      </w:pPr>
      <w:r w:rsidRPr="009F4894">
        <w:t xml:space="preserve">Заштитне рукавице; </w:t>
      </w:r>
    </w:p>
    <w:p w14:paraId="37AE84F9"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ListParagraph"/>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26848938" w:rsidR="00923AC7" w:rsidRPr="00923AC7" w:rsidRDefault="00923AC7" w:rsidP="00923AC7">
      <w:pPr>
        <w:pStyle w:val="ListParagraph"/>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7B7B5F">
        <w:rPr>
          <w:lang w:val="ru-RU"/>
        </w:rPr>
        <w:t>ХИПП</w:t>
      </w:r>
      <w:r w:rsidRPr="00923AC7">
        <w:rPr>
          <w:lang w:val="ru-RU"/>
        </w:rPr>
        <w:t>:</w:t>
      </w:r>
    </w:p>
    <w:p w14:paraId="71BC6DAB" w14:textId="650B43F5" w:rsidR="00923AC7" w:rsidRPr="00923AC7" w:rsidRDefault="00923AC7" w:rsidP="00923AC7">
      <w:pPr>
        <w:pStyle w:val="ListParagraph"/>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ListParagraph"/>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0B338100" w:rsidR="00923AC7" w:rsidRPr="00BE7641" w:rsidRDefault="00923AC7" w:rsidP="00BE7641">
      <w:pPr>
        <w:jc w:val="left"/>
        <w:rPr>
          <w:i/>
          <w:sz w:val="20"/>
          <w:szCs w:val="20"/>
          <w:lang w:val="sr-Cyrl-RS"/>
        </w:rPr>
      </w:pPr>
      <w:r w:rsidRPr="00BE7641">
        <w:rPr>
          <w:i/>
          <w:sz w:val="20"/>
          <w:szCs w:val="20"/>
        </w:rPr>
        <w:t>Tabela 1</w:t>
      </w:r>
    </w:p>
    <w:tbl>
      <w:tblPr>
        <w:tblStyle w:val="TableGrid"/>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r w:rsidRPr="00B079B7">
              <w:rPr>
                <w:sz w:val="20"/>
                <w:szCs w:val="20"/>
              </w:rPr>
              <w:t>5  ppm</w:t>
            </w:r>
          </w:p>
        </w:tc>
        <w:tc>
          <w:tcPr>
            <w:tcW w:w="974" w:type="pct"/>
            <w:vAlign w:val="center"/>
            <w:hideMark/>
          </w:tcPr>
          <w:p w14:paraId="7F01922B" w14:textId="77777777" w:rsidR="00923AC7" w:rsidRPr="00B079B7" w:rsidRDefault="00923AC7" w:rsidP="007B7B5F">
            <w:pPr>
              <w:jc w:val="center"/>
              <w:rPr>
                <w:sz w:val="20"/>
                <w:szCs w:val="20"/>
              </w:rPr>
            </w:pPr>
            <w:r w:rsidRPr="00B079B7">
              <w:rPr>
                <w:sz w:val="20"/>
                <w:szCs w:val="20"/>
              </w:rPr>
              <w:t>10  ppm</w:t>
            </w:r>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31FC0186" w14:textId="77777777" w:rsidR="00923AC7" w:rsidRPr="00923AC7" w:rsidRDefault="00923AC7" w:rsidP="00923AC7">
      <w:pPr>
        <w:pStyle w:val="ListParagraph"/>
        <w:numPr>
          <w:ilvl w:val="0"/>
          <w:numId w:val="20"/>
        </w:numPr>
        <w:ind w:left="714" w:hanging="357"/>
        <w:rPr>
          <w:lang w:val="ru-RU"/>
        </w:rPr>
      </w:pPr>
      <w:r w:rsidRPr="009F4894">
        <w:rPr>
          <w:lang w:val="sr-Cyrl-RS"/>
        </w:rPr>
        <w:t xml:space="preserve">За </w:t>
      </w:r>
      <w:r w:rsidRPr="00923AC7">
        <w:rPr>
          <w:lang w:val="ru-RU"/>
        </w:rPr>
        <w:t>радове</w:t>
      </w:r>
      <w:r w:rsidRPr="009F4894">
        <w:rPr>
          <w:lang w:val="sr-Cyrl-RS"/>
        </w:rPr>
        <w:t xml:space="preserve"> на постројењу С</w:t>
      </w:r>
      <w:r w:rsidRPr="00923AC7">
        <w:rPr>
          <w:lang w:val="ru-RU"/>
        </w:rPr>
        <w:t xml:space="preserve">- 5900 </w:t>
      </w:r>
      <w:r w:rsidRPr="009F4894">
        <w:rPr>
          <w:lang w:val="sr-Cyrl-RS"/>
        </w:rPr>
        <w:t>Озон генерацији, свака група Извођача мора имати минимум један персонални/преносни детектор</w:t>
      </w:r>
      <w:r w:rsidRPr="00923AC7">
        <w:rPr>
          <w:lang w:val="ru-RU"/>
        </w:rPr>
        <w:t xml:space="preserve"> </w:t>
      </w:r>
      <w:r w:rsidRPr="009F4894">
        <w:rPr>
          <w:lang w:val="sr-Cyrl-RS"/>
        </w:rPr>
        <w:t>гасова у току извођења радова за детекцију присуства озона (Табела 2):</w:t>
      </w:r>
    </w:p>
    <w:p w14:paraId="2BD34108" w14:textId="77777777" w:rsidR="00923AC7" w:rsidRPr="00B079B7" w:rsidRDefault="00923AC7" w:rsidP="00923AC7">
      <w:pPr>
        <w:spacing w:after="0" w:line="314" w:lineRule="auto"/>
        <w:ind w:right="2"/>
        <w:rPr>
          <w:i/>
          <w:sz w:val="20"/>
          <w:szCs w:val="20"/>
        </w:rPr>
      </w:pPr>
      <w:r w:rsidRPr="00B079B7">
        <w:rPr>
          <w:i/>
          <w:sz w:val="20"/>
          <w:szCs w:val="20"/>
        </w:rPr>
        <w:t>Tabela 2:</w:t>
      </w:r>
    </w:p>
    <w:tbl>
      <w:tblPr>
        <w:tblStyle w:val="TableGrid"/>
        <w:tblW w:w="5000" w:type="pct"/>
        <w:tblLook w:val="04A0" w:firstRow="1" w:lastRow="0" w:firstColumn="1" w:lastColumn="0" w:noHBand="0" w:noVBand="1"/>
      </w:tblPr>
      <w:tblGrid>
        <w:gridCol w:w="1485"/>
        <w:gridCol w:w="2178"/>
        <w:gridCol w:w="2178"/>
        <w:gridCol w:w="2178"/>
        <w:gridCol w:w="2176"/>
      </w:tblGrid>
      <w:tr w:rsidR="00923AC7" w:rsidRPr="00B079B7" w14:paraId="0994428F" w14:textId="77777777" w:rsidTr="007B7B5F">
        <w:trPr>
          <w:trHeight w:val="330"/>
        </w:trPr>
        <w:tc>
          <w:tcPr>
            <w:tcW w:w="729" w:type="pct"/>
            <w:shd w:val="clear" w:color="auto" w:fill="DBE5F1" w:themeFill="accent1" w:themeFillTint="33"/>
            <w:vAlign w:val="center"/>
            <w:hideMark/>
          </w:tcPr>
          <w:p w14:paraId="62729118" w14:textId="77777777" w:rsidR="00923AC7" w:rsidRPr="00B079B7" w:rsidRDefault="00923AC7" w:rsidP="007B7B5F">
            <w:pPr>
              <w:jc w:val="center"/>
              <w:rPr>
                <w:b/>
                <w:sz w:val="20"/>
                <w:szCs w:val="20"/>
              </w:rPr>
            </w:pPr>
            <w:r w:rsidRPr="00B079B7">
              <w:rPr>
                <w:b/>
                <w:sz w:val="20"/>
                <w:szCs w:val="20"/>
              </w:rPr>
              <w:t>GAS</w:t>
            </w:r>
          </w:p>
        </w:tc>
        <w:tc>
          <w:tcPr>
            <w:tcW w:w="1068" w:type="pct"/>
            <w:shd w:val="clear" w:color="auto" w:fill="DBE5F1" w:themeFill="accent1" w:themeFillTint="33"/>
            <w:vAlign w:val="center"/>
            <w:hideMark/>
          </w:tcPr>
          <w:p w14:paraId="6035209B" w14:textId="77777777" w:rsidR="00923AC7" w:rsidRPr="00B079B7" w:rsidRDefault="00923AC7" w:rsidP="007B7B5F">
            <w:pPr>
              <w:jc w:val="center"/>
              <w:rPr>
                <w:b/>
                <w:sz w:val="20"/>
                <w:szCs w:val="20"/>
              </w:rPr>
            </w:pPr>
            <w:r w:rsidRPr="00B079B7">
              <w:rPr>
                <w:b/>
                <w:sz w:val="20"/>
                <w:szCs w:val="20"/>
              </w:rPr>
              <w:t>LOW</w:t>
            </w:r>
          </w:p>
        </w:tc>
        <w:tc>
          <w:tcPr>
            <w:tcW w:w="1068" w:type="pct"/>
            <w:shd w:val="clear" w:color="auto" w:fill="DBE5F1" w:themeFill="accent1" w:themeFillTint="33"/>
            <w:vAlign w:val="center"/>
            <w:hideMark/>
          </w:tcPr>
          <w:p w14:paraId="7130C0CF" w14:textId="77777777" w:rsidR="00923AC7" w:rsidRPr="00B079B7" w:rsidRDefault="00923AC7" w:rsidP="007B7B5F">
            <w:pPr>
              <w:jc w:val="center"/>
              <w:rPr>
                <w:b/>
                <w:sz w:val="20"/>
                <w:szCs w:val="20"/>
              </w:rPr>
            </w:pPr>
            <w:r w:rsidRPr="00B079B7">
              <w:rPr>
                <w:b/>
                <w:sz w:val="20"/>
                <w:szCs w:val="20"/>
              </w:rPr>
              <w:t>HIGH</w:t>
            </w:r>
          </w:p>
        </w:tc>
        <w:tc>
          <w:tcPr>
            <w:tcW w:w="1068" w:type="pct"/>
            <w:shd w:val="clear" w:color="auto" w:fill="DBE5F1" w:themeFill="accent1" w:themeFillTint="33"/>
            <w:vAlign w:val="center"/>
            <w:hideMark/>
          </w:tcPr>
          <w:p w14:paraId="7661B19E" w14:textId="77777777" w:rsidR="00923AC7" w:rsidRPr="00B079B7" w:rsidRDefault="00923AC7" w:rsidP="007B7B5F">
            <w:pPr>
              <w:jc w:val="center"/>
              <w:rPr>
                <w:b/>
                <w:sz w:val="20"/>
                <w:szCs w:val="20"/>
              </w:rPr>
            </w:pPr>
            <w:r w:rsidRPr="00B079B7">
              <w:rPr>
                <w:b/>
                <w:sz w:val="20"/>
                <w:szCs w:val="20"/>
              </w:rPr>
              <w:t>TWA</w:t>
            </w:r>
          </w:p>
        </w:tc>
        <w:tc>
          <w:tcPr>
            <w:tcW w:w="1068" w:type="pct"/>
            <w:shd w:val="clear" w:color="auto" w:fill="DBE5F1" w:themeFill="accent1" w:themeFillTint="33"/>
            <w:vAlign w:val="center"/>
            <w:hideMark/>
          </w:tcPr>
          <w:p w14:paraId="1CE7F44F" w14:textId="77777777" w:rsidR="00923AC7" w:rsidRPr="00B079B7" w:rsidRDefault="00923AC7" w:rsidP="007B7B5F">
            <w:pPr>
              <w:jc w:val="center"/>
              <w:rPr>
                <w:b/>
                <w:sz w:val="20"/>
                <w:szCs w:val="20"/>
              </w:rPr>
            </w:pPr>
            <w:r w:rsidRPr="00B079B7">
              <w:rPr>
                <w:b/>
                <w:sz w:val="20"/>
                <w:szCs w:val="20"/>
              </w:rPr>
              <w:t>STEL</w:t>
            </w:r>
          </w:p>
        </w:tc>
      </w:tr>
      <w:tr w:rsidR="00923AC7" w:rsidRPr="00B079B7" w14:paraId="20402486" w14:textId="77777777" w:rsidTr="007B7B5F">
        <w:trPr>
          <w:trHeight w:val="390"/>
        </w:trPr>
        <w:tc>
          <w:tcPr>
            <w:tcW w:w="729" w:type="pct"/>
            <w:shd w:val="clear" w:color="auto" w:fill="DBE5F1" w:themeFill="accent1" w:themeFillTint="33"/>
            <w:vAlign w:val="center"/>
            <w:hideMark/>
          </w:tcPr>
          <w:p w14:paraId="17CA22D8" w14:textId="77777777" w:rsidR="00923AC7" w:rsidRPr="00B079B7" w:rsidRDefault="00923AC7" w:rsidP="007B7B5F">
            <w:pPr>
              <w:jc w:val="center"/>
              <w:rPr>
                <w:b/>
                <w:sz w:val="20"/>
                <w:szCs w:val="20"/>
              </w:rPr>
            </w:pPr>
            <w:r w:rsidRPr="00B079B7">
              <w:rPr>
                <w:sz w:val="20"/>
                <w:szCs w:val="20"/>
              </w:rPr>
              <w:t>O3</w:t>
            </w:r>
          </w:p>
        </w:tc>
        <w:tc>
          <w:tcPr>
            <w:tcW w:w="1068" w:type="pct"/>
            <w:vAlign w:val="center"/>
            <w:hideMark/>
          </w:tcPr>
          <w:p w14:paraId="40A78977" w14:textId="77777777" w:rsidR="00923AC7" w:rsidRPr="00B079B7" w:rsidRDefault="00923AC7" w:rsidP="007B7B5F">
            <w:pPr>
              <w:jc w:val="center"/>
              <w:rPr>
                <w:sz w:val="20"/>
                <w:szCs w:val="20"/>
              </w:rPr>
            </w:pPr>
            <w:r w:rsidRPr="00B079B7">
              <w:rPr>
                <w:sz w:val="20"/>
                <w:szCs w:val="20"/>
              </w:rPr>
              <w:t>0,1 ppm</w:t>
            </w:r>
          </w:p>
        </w:tc>
        <w:tc>
          <w:tcPr>
            <w:tcW w:w="1068" w:type="pct"/>
            <w:vAlign w:val="center"/>
            <w:hideMark/>
          </w:tcPr>
          <w:p w14:paraId="765181A1" w14:textId="77777777" w:rsidR="00923AC7" w:rsidRPr="00B079B7" w:rsidRDefault="00923AC7" w:rsidP="007B7B5F">
            <w:pPr>
              <w:jc w:val="center"/>
              <w:rPr>
                <w:sz w:val="20"/>
                <w:szCs w:val="20"/>
              </w:rPr>
            </w:pPr>
            <w:r w:rsidRPr="00B079B7">
              <w:rPr>
                <w:sz w:val="20"/>
                <w:szCs w:val="20"/>
              </w:rPr>
              <w:t>0,2 ppm</w:t>
            </w:r>
          </w:p>
        </w:tc>
        <w:tc>
          <w:tcPr>
            <w:tcW w:w="1068" w:type="pct"/>
            <w:vAlign w:val="center"/>
          </w:tcPr>
          <w:p w14:paraId="2FE6F0CE" w14:textId="77777777" w:rsidR="00923AC7" w:rsidRPr="00B079B7" w:rsidRDefault="00923AC7" w:rsidP="007B7B5F">
            <w:pPr>
              <w:jc w:val="center"/>
              <w:rPr>
                <w:sz w:val="20"/>
                <w:szCs w:val="20"/>
              </w:rPr>
            </w:pPr>
            <w:r w:rsidRPr="00B079B7">
              <w:rPr>
                <w:sz w:val="20"/>
                <w:szCs w:val="20"/>
              </w:rPr>
              <w:t>0,1 ppm</w:t>
            </w:r>
          </w:p>
        </w:tc>
        <w:tc>
          <w:tcPr>
            <w:tcW w:w="1068" w:type="pct"/>
            <w:vAlign w:val="center"/>
          </w:tcPr>
          <w:p w14:paraId="49B0D74B" w14:textId="77777777" w:rsidR="00923AC7" w:rsidRPr="00B079B7" w:rsidRDefault="00923AC7" w:rsidP="007B7B5F">
            <w:pPr>
              <w:jc w:val="center"/>
              <w:rPr>
                <w:sz w:val="20"/>
                <w:szCs w:val="20"/>
              </w:rPr>
            </w:pPr>
            <w:r w:rsidRPr="00B079B7">
              <w:rPr>
                <w:sz w:val="20"/>
                <w:szCs w:val="20"/>
              </w:rPr>
              <w:t>0,2 ppm</w:t>
            </w:r>
          </w:p>
        </w:tc>
      </w:tr>
    </w:tbl>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1703C9BB" w:rsidR="00923AC7" w:rsidRPr="00923AC7" w:rsidRDefault="00923AC7" w:rsidP="00923AC7">
      <w:pPr>
        <w:rPr>
          <w:lang w:val="ru-RU"/>
        </w:rPr>
      </w:pPr>
      <w:r w:rsidRPr="00923AC7">
        <w:rPr>
          <w:lang w:val="ru-RU"/>
        </w:rPr>
        <w:t xml:space="preserve">Сва лица која улазе на локацију у </w:t>
      </w:r>
      <w:r w:rsidR="008B3AC7">
        <w:rPr>
          <w:lang w:val="ru-RU"/>
        </w:rPr>
        <w:t>ХИП Петрохемију д.о.о.</w:t>
      </w:r>
      <w:r w:rsidRPr="00923AC7">
        <w:rPr>
          <w:lang w:val="ru-RU"/>
        </w:rPr>
        <w:t xml:space="preserve"> Панчево,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у складу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77777777" w:rsidR="00923AC7" w:rsidRPr="00923AC7" w:rsidRDefault="00923AC7" w:rsidP="00923AC7">
      <w:pPr>
        <w:rPr>
          <w:lang w:val="ru-RU"/>
        </w:rPr>
      </w:pPr>
      <w:r w:rsidRPr="00923AC7">
        <w:rPr>
          <w:lang w:val="ru-RU"/>
        </w:rPr>
        <w:t xml:space="preserve">Извођач радова је у обавези да пре активности одговорном техничком лицу, руководиоцу пројекта и Лицу за НЅЕ у НИС а.д. Нови Сад достави исправе о усаглашености, атесте и валидне стручне налазе за опрему, као и  потребне обуке за запослене. </w:t>
      </w:r>
    </w:p>
    <w:p w14:paraId="76EBC6DE" w14:textId="7158FB84"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у складу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на увид Лицу за НЅЕ</w:t>
      </w:r>
      <w:r w:rsidRPr="009F4894">
        <w:rPr>
          <w:b/>
          <w:lang w:val="sr-Cyrl-RS"/>
        </w:rPr>
        <w:t xml:space="preserve"> </w:t>
      </w:r>
      <w:r w:rsidR="009A3001">
        <w:rPr>
          <w:b/>
          <w:lang w:val="sr-Cyrl-RS"/>
        </w:rPr>
        <w:t xml:space="preserve"> ХИП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Heading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Heading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59D07A08" w:rsidR="00923AC7" w:rsidRPr="00923AC7" w:rsidRDefault="00923AC7" w:rsidP="00923AC7">
      <w:pPr>
        <w:pStyle w:val="ListParagraph"/>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77777777" w:rsidR="00923AC7" w:rsidRPr="00923AC7" w:rsidRDefault="00923AC7" w:rsidP="00923AC7">
      <w:pPr>
        <w:pStyle w:val="ListParagraph"/>
        <w:numPr>
          <w:ilvl w:val="0"/>
          <w:numId w:val="22"/>
        </w:numPr>
        <w:ind w:left="714" w:hanging="357"/>
        <w:contextualSpacing w:val="0"/>
        <w:rPr>
          <w:lang w:val="ru-RU"/>
        </w:rPr>
      </w:pPr>
      <w:r w:rsidRPr="00923AC7">
        <w:rPr>
          <w:lang w:val="ru-RU"/>
        </w:rPr>
        <w:lastRenderedPageBreak/>
        <w:t xml:space="preserve">Оспосбљеност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ListParagraph"/>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780D60A4" w:rsidR="00923AC7" w:rsidRPr="00923AC7" w:rsidRDefault="007B7B5F" w:rsidP="00923AC7">
      <w:pPr>
        <w:pStyle w:val="ListParagraph"/>
        <w:numPr>
          <w:ilvl w:val="0"/>
          <w:numId w:val="22"/>
        </w:numPr>
        <w:ind w:left="714" w:hanging="357"/>
        <w:contextualSpacing w:val="0"/>
        <w:rPr>
          <w:lang w:val="ru-RU"/>
        </w:rPr>
      </w:pPr>
      <w:r>
        <w:rPr>
          <w:lang w:val="ru-RU"/>
        </w:rPr>
        <w:t>ХИПП</w:t>
      </w:r>
      <w:r w:rsidR="00923AC7" w:rsidRPr="00923AC7">
        <w:rPr>
          <w:lang w:val="ru-RU"/>
        </w:rPr>
        <w:t>Да испуњава</w:t>
      </w:r>
      <w:r w:rsidR="00923AC7" w:rsidRPr="009F4894">
        <w:rPr>
          <w:lang w:val="sr-Cyrl-RS"/>
        </w:rPr>
        <w:t>ју</w:t>
      </w:r>
      <w:r w:rsidR="00923AC7" w:rsidRPr="00923AC7">
        <w:rPr>
          <w:lang w:val="ru-RU"/>
        </w:rPr>
        <w:t xml:space="preserve"> критеријуме који су Законом о БЗР прописани за обављање послова лица за БЗР</w:t>
      </w:r>
      <w:r w:rsidR="003E3B33">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Heading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ListParagraph"/>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E512B11" w:rsidR="00923AC7" w:rsidRPr="00923AC7" w:rsidRDefault="00923AC7" w:rsidP="00923AC7">
      <w:pPr>
        <w:pStyle w:val="ListParagraph"/>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ХИППХИПП</w:t>
      </w:r>
      <w:r w:rsidRPr="00923AC7">
        <w:rPr>
          <w:lang w:val="ru-RU"/>
        </w:rPr>
        <w:t>;</w:t>
      </w:r>
    </w:p>
    <w:p w14:paraId="4F0E30D4" w14:textId="52ACA4DE" w:rsidR="00923AC7" w:rsidRPr="00923AC7" w:rsidRDefault="00923AC7" w:rsidP="00923AC7">
      <w:pPr>
        <w:pStyle w:val="ListParagraph"/>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ХИППХИПП</w:t>
      </w:r>
    </w:p>
    <w:p w14:paraId="6E7407F5" w14:textId="6058955A"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локацијама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77777777"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нтрола прописаних превентивних мера у ДЗР</w:t>
      </w:r>
      <w:r w:rsidRPr="009F4894">
        <w:rPr>
          <w:lang w:val="sr-Cyrl-RS"/>
        </w:rPr>
        <w:t xml:space="preserve"> и </w:t>
      </w:r>
      <w:r w:rsidRPr="00923AC7">
        <w:rPr>
          <w:lang w:val="ru-RU"/>
        </w:rPr>
        <w:t xml:space="preserve">;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стално присуство НЅЕ лица Извођача на месту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lastRenderedPageBreak/>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044172BA"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 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7B7B5F">
        <w:rPr>
          <w:lang w:val="ru-RU"/>
        </w:rPr>
        <w:t>ХИПП</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разврставања одмах на месту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77DCB6E8"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t>Извођач радова у обавези је да разврстава неопасан отпад од секундарних сировина одмах по њиховом генерисању, на месту извођења радова;</w:t>
      </w:r>
    </w:p>
    <w:p w14:paraId="6961D54B" w14:textId="562C1545"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ListParagraph"/>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Земљиште из ископа и отпадне воде контаминиране опасним материјама се третирају као опасан отпад и са њима се поступа у складу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квалитета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раду  свом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269C1704" w:rsidR="00923AC7" w:rsidRPr="00923AC7" w:rsidRDefault="00923AC7" w:rsidP="00923AC7">
      <w:pPr>
        <w:numPr>
          <w:ilvl w:val="0"/>
          <w:numId w:val="23"/>
        </w:numPr>
        <w:ind w:left="714" w:hanging="357"/>
        <w:rPr>
          <w:lang w:val="ru-RU"/>
        </w:rPr>
      </w:pPr>
      <w:r w:rsidRPr="00923AC7">
        <w:rPr>
          <w:lang w:val="ru-RU"/>
        </w:rPr>
        <w:lastRenderedPageBreak/>
        <w:t xml:space="preserve">Да по потреби буде у контакту и координацији са једино одговорним лицем (ЈОЛ- ом) и лицем за технички надзор, лицима за НЅЕ </w:t>
      </w:r>
      <w:r w:rsidR="007B7B5F">
        <w:rPr>
          <w:lang w:val="ru-RU"/>
        </w:rPr>
        <w:t>ХИПП</w:t>
      </w:r>
      <w:r w:rsidRPr="00923AC7">
        <w:rPr>
          <w:lang w:val="ru-RU"/>
        </w:rPr>
        <w:t xml:space="preserve"> 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77777777"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У систему ДЗР у НИС а.д. Нови Сад постоје следеће дозволе за рад: </w:t>
      </w:r>
    </w:p>
    <w:p w14:paraId="13406BC7" w14:textId="4CF7EFF0"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09.01.14-029: Дозвола за рад приликом извођења хладних послова и радова у Ех Зонама;</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4C82F901" w14:textId="69064281" w:rsidR="00923AC7" w:rsidRPr="00923AC7"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Дозвола за радове у високонапонским постројењима, радове у близини водова под високим напоном, као и радове на инсталацијама и опреми под напоном (високи и ниски) </w:t>
      </w:r>
    </w:p>
    <w:p w14:paraId="57976F22" w14:textId="64C76F54" w:rsidR="00923AC7" w:rsidRPr="00923AC7" w:rsidRDefault="00923AC7" w:rsidP="00923AC7">
      <w:pPr>
        <w:rPr>
          <w:lang w:val="ru-RU"/>
        </w:rPr>
      </w:pPr>
      <w:r w:rsidRPr="00923AC7">
        <w:rPr>
          <w:lang w:val="ru-RU"/>
        </w:rPr>
        <w:t>Дозволу за рад издаје обучено и овлашћено лице за издавање дозвола у НИС а.д.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на месту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Heading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ListParagraph"/>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ListParagraph"/>
        <w:numPr>
          <w:ilvl w:val="0"/>
          <w:numId w:val="25"/>
        </w:numPr>
        <w:ind w:left="714" w:hanging="357"/>
        <w:rPr>
          <w:b/>
          <w:lang w:val="sr-Cyrl-RS"/>
        </w:rPr>
      </w:pPr>
      <w:r w:rsidRPr="009F4894">
        <w:rPr>
          <w:lang w:val="sr-Cyrl-RS"/>
        </w:rPr>
        <w:lastRenderedPageBreak/>
        <w:t>послове брушења који производе високу температуру односно масивно варничење;</w:t>
      </w:r>
    </w:p>
    <w:p w14:paraId="4CE84400"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Heading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18910D65" w14:textId="69496CD2" w:rsidR="00923AC7" w:rsidRPr="00700911" w:rsidRDefault="00923AC7" w:rsidP="00923AC7">
      <w:pPr>
        <w:pStyle w:val="ListParagraph"/>
        <w:numPr>
          <w:ilvl w:val="0"/>
          <w:numId w:val="25"/>
        </w:numPr>
        <w:ind w:left="714" w:hanging="357"/>
        <w:contextualSpacing w:val="0"/>
        <w:rPr>
          <w:lang w:val="sr-Cyrl-RS"/>
        </w:rPr>
      </w:pPr>
      <w:r w:rsidRPr="009F4894">
        <w:rPr>
          <w:lang w:val="sr-Cyrl-RS"/>
        </w:rPr>
        <w:t xml:space="preserve">Положена теоријска и практична </w:t>
      </w:r>
      <w:r w:rsidRPr="00700911">
        <w:rPr>
          <w:lang w:val="sr-Cyrl-RS"/>
        </w:rPr>
        <w:t xml:space="preserve">обука за рад на висини у Сектору за  HSE </w:t>
      </w:r>
      <w:r w:rsidR="007B7B5F">
        <w:rPr>
          <w:lang w:val="sr-Cyrl-RS"/>
        </w:rPr>
        <w:t>ХИПП</w:t>
      </w:r>
      <w:r w:rsidRPr="00700911">
        <w:rPr>
          <w:lang w:val="sr-Cyrl-RS"/>
        </w:rPr>
        <w:t>.,</w:t>
      </w:r>
    </w:p>
    <w:p w14:paraId="0FBB88F4" w14:textId="77777777" w:rsidR="00923AC7" w:rsidRPr="00700911" w:rsidRDefault="00923AC7" w:rsidP="00923AC7">
      <w:pPr>
        <w:pStyle w:val="ListParagraph"/>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ListParagraph"/>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ListParagraph"/>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ListParagraph"/>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Heading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lastRenderedPageBreak/>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и  непрекидно надгледати улазак и рад у ЗП и контролисати безбедне услове за рад.  Лице у приправности мора да обезбеди  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ListParagraph"/>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ListParagraph"/>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ListParagraph"/>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ListParagraph"/>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ListParagraph"/>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43DAF6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персонални/преносни  детектор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Heading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ископавању  су: </w:t>
      </w:r>
    </w:p>
    <w:p w14:paraId="13F71C05" w14:textId="77777777" w:rsidR="00923AC7" w:rsidRPr="009F4894" w:rsidRDefault="00923AC7" w:rsidP="00923AC7">
      <w:pPr>
        <w:pStyle w:val="ListParagraph"/>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ListParagraph"/>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у складу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Heading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Опрему испразнити од радног флуида;</w:t>
      </w:r>
    </w:p>
    <w:p w14:paraId="5BA56CE1" w14:textId="06C2FEE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 раду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w:t>
      </w:r>
      <w:r w:rsidRPr="00923AC7">
        <w:rPr>
          <w:lang w:val="ru-RU"/>
        </w:rPr>
        <w:lastRenderedPageBreak/>
        <w:t xml:space="preserve">до места манипулације / шахте, од 20 метара, што је као обавеза дефинисано НМД </w:t>
      </w:r>
      <w:r w:rsidRPr="009F4894">
        <w:t>UP</w:t>
      </w:r>
      <w:r w:rsidRPr="00923AC7">
        <w:rPr>
          <w:lang w:val="ru-RU"/>
        </w:rPr>
        <w:t>-</w:t>
      </w:r>
      <w:r w:rsidR="007D0DF3">
        <w:rPr>
          <w:lang w:val="sr-Latn-RS"/>
        </w:rPr>
        <w:t>52.00</w:t>
      </w:r>
      <w:r w:rsidR="00941235">
        <w:rPr>
          <w:lang w:val="sr-Latn-RS"/>
        </w:rPr>
        <w:t>_</w:t>
      </w:r>
      <w:r w:rsidRPr="00923AC7">
        <w:rPr>
          <w:lang w:val="ru-RU"/>
        </w:rPr>
        <w:t>09.01.07-242 Упутством за безбедан рад приликом црпљења опасних и штетних материја вакуум цистерном.</w:t>
      </w:r>
    </w:p>
    <w:p w14:paraId="744EE75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са  Шемом позиционирања уређаја за мониторинг атмосфере. </w:t>
      </w:r>
    </w:p>
    <w:p w14:paraId="120E4BF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Уређаји  за мониторинг атмосфере морају бити  калибрисани.</w:t>
      </w:r>
    </w:p>
    <w:p w14:paraId="4984849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 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14:paraId="07E37F5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пада концентрације О2 испод  20%, обавезна је употреба заштите дисајних органа изолацијом. </w:t>
      </w:r>
    </w:p>
    <w:p w14:paraId="2BCD897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 изнад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ListParagraph"/>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Heading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lastRenderedPageBreak/>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Heading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561215E1" w14:textId="53CA7CFC" w:rsidR="00923AC7" w:rsidRPr="00923AC7" w:rsidRDefault="00923AC7" w:rsidP="00923AC7">
      <w:pPr>
        <w:rPr>
          <w:lang w:val="ru-RU"/>
        </w:rPr>
      </w:pPr>
      <w:r w:rsidRPr="00923AC7">
        <w:rPr>
          <w:b/>
          <w:lang w:val="ru-RU"/>
        </w:rPr>
        <w:t>*Напомена за Енергану Рафинерије нафте Панчево</w:t>
      </w:r>
      <w:r w:rsidRPr="00923AC7">
        <w:rPr>
          <w:lang w:val="ru-RU"/>
        </w:rPr>
        <w:t>: На простору Рафинерији нафте Панчево, Енергана Панчево, постоји инсталирана електроенергетска мрежа 6/0,4</w:t>
      </w:r>
      <w:r w:rsidRPr="009F4894">
        <w:t>kV</w:t>
      </w:r>
      <w:r w:rsidRPr="00923AC7">
        <w:rPr>
          <w:lang w:val="ru-RU"/>
        </w:rPr>
        <w:t xml:space="preserve"> за напајање привремених грађевинских електричних инсталација. Ова мрежа се састоји од преносних трансформатора 6/0,4</w:t>
      </w:r>
      <w:r w:rsidRPr="009F4894">
        <w:t>kV</w:t>
      </w:r>
      <w:r w:rsidRPr="00923AC7">
        <w:rPr>
          <w:lang w:val="ru-RU"/>
        </w:rPr>
        <w:t xml:space="preserve"> такозваних “Лименки“ који су смештени у оклопљено постројење у којима такође постоји одређени број дистрибутивних извода на 0,4 </w:t>
      </w:r>
      <w:r w:rsidRPr="009F4894">
        <w:t>kV</w:t>
      </w:r>
      <w:r w:rsidRPr="00923AC7">
        <w:rPr>
          <w:lang w:val="ru-RU"/>
        </w:rPr>
        <w:t xml:space="preserve"> напонском нивоу. Ови привремени разводи су распоређени у кругу </w:t>
      </w:r>
      <w:r w:rsidR="007B7B5F">
        <w:rPr>
          <w:lang w:val="ru-RU"/>
        </w:rPr>
        <w:t>ХИПП</w:t>
      </w:r>
      <w:r w:rsidRPr="00923AC7">
        <w:rPr>
          <w:lang w:val="ru-RU"/>
        </w:rPr>
        <w:t xml:space="preserve"> и њихов број варира у зависности од обима посла.  </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Попис  потрошача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Heading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Обавеза извођача радова током реализација активности на високонапонским постројењима  и рад у близини водова су:</w:t>
      </w:r>
    </w:p>
    <w:p w14:paraId="2EC4B1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Изоловање  и закључавање извора опасне енергије;</w:t>
      </w:r>
    </w:p>
    <w:p w14:paraId="4AED2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ListParagraph"/>
        <w:numPr>
          <w:ilvl w:val="0"/>
          <w:numId w:val="25"/>
        </w:numPr>
        <w:ind w:left="714" w:hanging="357"/>
        <w:contextualSpacing w:val="0"/>
      </w:pPr>
      <w:r w:rsidRPr="009F4894">
        <w:t xml:space="preserve">Поставити  заштитне преграде; </w:t>
      </w:r>
    </w:p>
    <w:p w14:paraId="684435E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електроизолациону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Heading1"/>
        <w:numPr>
          <w:ilvl w:val="1"/>
          <w:numId w:val="27"/>
        </w:numPr>
        <w:spacing w:before="120"/>
        <w:ind w:left="357" w:hanging="357"/>
      </w:pPr>
      <w:r w:rsidRPr="00730EC3">
        <w:lastRenderedPageBreak/>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ListParagraph"/>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ListParagraph"/>
        <w:numPr>
          <w:ilvl w:val="0"/>
          <w:numId w:val="25"/>
        </w:numPr>
        <w:ind w:left="714" w:hanging="357"/>
        <w:contextualSpacing w:val="0"/>
      </w:pPr>
      <w:r w:rsidRPr="009F4894">
        <w:t>Обезбедити присуство сигналисте</w:t>
      </w:r>
    </w:p>
    <w:p w14:paraId="6CD9836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Дизаличар, сигналиста и  везач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Гуртне, сајле и друга опрема која се користи за подизање и везивање терета мора имати  читљиве фабричке ознаке са подацима о носивости идр.</w:t>
      </w:r>
    </w:p>
    <w:p w14:paraId="57491A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Забранено је коришћење  гуртне,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обучен за управљање дизалицом уз одговарајући  важећи сертификат</w:t>
      </w:r>
    </w:p>
    <w:p w14:paraId="3734E90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Е је да се израде и потпишу документа интерни преглед опреме за подизање и премештање терета,…)</w:t>
      </w:r>
    </w:p>
    <w:p w14:paraId="480596BE" w14:textId="77777777" w:rsidR="00923AC7" w:rsidRPr="00730EC3" w:rsidRDefault="00923AC7" w:rsidP="001D0EFB">
      <w:pPr>
        <w:pStyle w:val="Heading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Heading1"/>
        <w:numPr>
          <w:ilvl w:val="0"/>
          <w:numId w:val="27"/>
        </w:numPr>
        <w:spacing w:before="120"/>
        <w:ind w:left="357" w:hanging="357"/>
        <w:rPr>
          <w:b w:val="0"/>
          <w:lang w:val="ru-RU"/>
        </w:rPr>
      </w:pPr>
      <w:r w:rsidRPr="00923AC7">
        <w:rPr>
          <w:lang w:val="ru-RU"/>
        </w:rPr>
        <w:lastRenderedPageBreak/>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Heading1"/>
        <w:numPr>
          <w:ilvl w:val="1"/>
          <w:numId w:val="27"/>
        </w:numPr>
        <w:spacing w:before="120"/>
        <w:ind w:left="357" w:hanging="357"/>
      </w:pPr>
      <w:r>
        <w:t>Општи део</w:t>
      </w:r>
    </w:p>
    <w:p w14:paraId="5F07CB70" w14:textId="410622D1"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 Блока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Heading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 xml:space="preserve">на постројењу строго </w:t>
      </w:r>
      <w:r w:rsidRPr="00923AC7">
        <w:rPr>
          <w:b/>
          <w:u w:val="single"/>
          <w:lang w:val="ru-RU"/>
        </w:rPr>
        <w:lastRenderedPageBreak/>
        <w:t>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Heading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у  току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њем отпада ван прописаних норми и Стадарда записником 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14:paraId="50D46957" w14:textId="00168414" w:rsidR="00923AC7" w:rsidRPr="00923AC7" w:rsidRDefault="00923AC7" w:rsidP="00306A90">
      <w:pPr>
        <w:pStyle w:val="Heading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  секундарним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ListParagraph"/>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Сваки генерисани отпад на месту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lastRenderedPageBreak/>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090ACD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Извођач радова у обавези је да разврстава неопаснан отпад од секундарних сировина одмах по њиховом генерисању, на месту извођења радова;</w:t>
      </w:r>
    </w:p>
    <w:p w14:paraId="7E8D3E1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0B942119" w14:textId="77777777" w:rsidR="00923AC7" w:rsidRPr="00923AC7" w:rsidRDefault="00923AC7" w:rsidP="00923AC7">
      <w:pPr>
        <w:tabs>
          <w:tab w:val="left" w:pos="1545"/>
        </w:tabs>
        <w:rPr>
          <w:lang w:val="ru-RU"/>
        </w:rPr>
      </w:pPr>
      <w:r w:rsidRPr="00923AC7">
        <w:rPr>
          <w:lang w:val="ru-RU"/>
        </w:rPr>
        <w:tab/>
      </w:r>
      <w:r w:rsidRPr="00923AC7">
        <w:rPr>
          <w:lang w:val="ru-RU"/>
        </w:rPr>
        <w:tab/>
      </w:r>
    </w:p>
    <w:p w14:paraId="4CC671A8" w14:textId="0C2DF62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ListParagraph"/>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потписује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у бокс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26A5FBAA" w14:textId="231C2080"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Земљиште из ископа контаминирано опасним материјама се третира као опасан отпад и са њим се поступа у складу законима и прописима РС којима се регулише управљање отпадом.</w:t>
      </w:r>
    </w:p>
    <w:p w14:paraId="4D7C44BD" w14:textId="77777777" w:rsidR="00923AC7" w:rsidRPr="005A5E27" w:rsidRDefault="00923AC7" w:rsidP="00C25370">
      <w:pPr>
        <w:pStyle w:val="Heading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Управљање отпадним водама мора бити у складу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на законом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воду најнижег прихватљивог квалитета где је то могуће; </w:t>
      </w:r>
    </w:p>
    <w:p w14:paraId="301FF18C" w14:textId="23E10D8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и ПХК),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14:paraId="54826478" w14:textId="77777777" w:rsidR="00923AC7" w:rsidRPr="00730EC3" w:rsidRDefault="00923AC7" w:rsidP="00E725CF">
      <w:pPr>
        <w:pStyle w:val="Heading1"/>
        <w:numPr>
          <w:ilvl w:val="1"/>
          <w:numId w:val="27"/>
        </w:numPr>
        <w:spacing w:before="120"/>
        <w:ind w:left="357" w:hanging="357"/>
        <w:rPr>
          <w:lang w:val="sr-Cyrl-RS"/>
        </w:rPr>
      </w:pPr>
      <w:r w:rsidRPr="005A5E27">
        <w:rPr>
          <w:lang w:val="sr-Cyrl-RS"/>
        </w:rPr>
        <w:lastRenderedPageBreak/>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у складу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у раду,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ListParagraph"/>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ListParagraph"/>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ListParagraph"/>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ListParagraph"/>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ListParagraph"/>
        <w:numPr>
          <w:ilvl w:val="0"/>
          <w:numId w:val="25"/>
        </w:numPr>
        <w:ind w:left="714" w:hanging="357"/>
        <w:contextualSpacing w:val="0"/>
      </w:pPr>
      <w:r w:rsidRPr="009F4894">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Heading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Уколико је за реализацију радова потребно вршити ископавање земље, пре отпочињања било каквог ископа обезбедити Извештај о ,,0“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 xml:space="preserve">оказ се састоји од важећег овлашћења (Дозвола/ Решење) за испитивање </w:t>
      </w:r>
      <w:r w:rsidRPr="00923AC7">
        <w:rPr>
          <w:lang w:val="ru-RU"/>
        </w:rPr>
        <w:lastRenderedPageBreak/>
        <w:t>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Heading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Heading1"/>
        <w:numPr>
          <w:ilvl w:val="1"/>
          <w:numId w:val="27"/>
        </w:numPr>
        <w:spacing w:before="120"/>
        <w:ind w:left="357" w:hanging="357"/>
        <w:rPr>
          <w:lang w:val="sr-Cyrl-RS"/>
        </w:rPr>
      </w:pPr>
      <w:r>
        <w:rPr>
          <w:lang w:val="sr-Cyrl-RS"/>
        </w:rPr>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77777777" w:rsidR="00923AC7" w:rsidRPr="00B7231B" w:rsidRDefault="00923AC7" w:rsidP="00923AC7">
      <w:pPr>
        <w:spacing w:after="9"/>
        <w:ind w:right="2"/>
        <w:jc w:val="center"/>
        <w:rPr>
          <w:lang w:val="sr-Cyrl-RS"/>
        </w:rPr>
      </w:pPr>
      <w:r>
        <w:rPr>
          <w:lang w:val="sr-Cyrl-RS"/>
        </w:rPr>
        <w:t>ОД</w:t>
      </w:r>
      <w:r w:rsidRPr="009F4894">
        <w:rPr>
          <w:lang w:val="sr-Cyrl-RS"/>
        </w:rPr>
        <w:t xml:space="preserve"> за </w:t>
      </w:r>
      <w:r w:rsidRPr="009F4894">
        <w:t>HS</w:t>
      </w:r>
      <w:r w:rsidRPr="00923AC7">
        <w:rPr>
          <w:lang w:val="ru-RU"/>
        </w:rPr>
        <w:t>Е</w:t>
      </w:r>
      <w:r>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F29F9" w14:textId="77777777" w:rsidR="00B72316" w:rsidRDefault="00B72316" w:rsidP="00431654">
      <w:pPr>
        <w:spacing w:after="0"/>
      </w:pPr>
      <w:r>
        <w:separator/>
      </w:r>
    </w:p>
  </w:endnote>
  <w:endnote w:type="continuationSeparator" w:id="0">
    <w:p w14:paraId="5D0CC437" w14:textId="77777777" w:rsidR="00B72316" w:rsidRDefault="00B7231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5519BE20" w:rsidR="007B7B5F" w:rsidRDefault="007A2B61" w:rsidP="00217689">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007B7B5F" w:rsidRPr="00122CD3">
      <w:rPr>
        <w:rFonts w:eastAsia="Times New Roman"/>
        <w:sz w:val="20"/>
        <w:szCs w:val="20"/>
        <w:lang w:val="ru-RU" w:eastAsia="ru-RU"/>
      </w:rPr>
      <w:tab/>
    </w:r>
    <w:r w:rsidR="007B7B5F" w:rsidRPr="00122CD3">
      <w:rPr>
        <w:rFonts w:eastAsia="Times New Roman"/>
        <w:sz w:val="20"/>
        <w:szCs w:val="20"/>
        <w:lang w:val="ru-RU" w:eastAsia="ru-RU"/>
      </w:rPr>
      <w:tab/>
    </w:r>
    <w:r w:rsidR="007B7B5F" w:rsidRPr="00122CD3">
      <w:rPr>
        <w:rFonts w:eastAsia="Times New Roman"/>
        <w:sz w:val="20"/>
        <w:szCs w:val="20"/>
        <w:lang w:val="ru-RU" w:eastAsia="ru-RU"/>
      </w:rPr>
      <w:tab/>
    </w:r>
    <w:r w:rsidR="007B7B5F" w:rsidRPr="00122CD3">
      <w:rPr>
        <w:rFonts w:eastAsia="Times New Roman"/>
        <w:sz w:val="20"/>
        <w:szCs w:val="20"/>
        <w:lang w:val="ru-RU" w:eastAsia="ru-RU"/>
      </w:rPr>
      <w:tab/>
    </w:r>
    <w:r w:rsidR="007B7B5F" w:rsidRPr="00122CD3">
      <w:rPr>
        <w:rFonts w:eastAsia="Times New Roman"/>
        <w:sz w:val="20"/>
        <w:szCs w:val="20"/>
        <w:lang w:val="ru-RU" w:eastAsia="ru-RU"/>
      </w:rPr>
      <w:tab/>
    </w:r>
    <w:r w:rsidR="007B7B5F">
      <w:rPr>
        <w:rFonts w:eastAsia="Times New Roman"/>
        <w:sz w:val="20"/>
        <w:szCs w:val="20"/>
        <w:lang w:val="ru-RU" w:eastAsia="ru-RU"/>
      </w:rPr>
      <w:tab/>
    </w:r>
    <w:r w:rsidR="007B7B5F">
      <w:rPr>
        <w:rFonts w:eastAsia="Times New Roman"/>
        <w:sz w:val="20"/>
        <w:szCs w:val="20"/>
        <w:lang w:val="sr-Latn-RS" w:eastAsia="ru-RU"/>
      </w:rPr>
      <w:tab/>
    </w:r>
    <w:r w:rsidR="007B7B5F" w:rsidRPr="00122CD3">
      <w:rPr>
        <w:rFonts w:eastAsia="Times New Roman"/>
        <w:sz w:val="20"/>
        <w:szCs w:val="20"/>
        <w:lang w:val="ru-RU" w:eastAsia="ru-RU"/>
      </w:rPr>
      <w:tab/>
    </w:r>
    <w:r w:rsidR="007B7B5F" w:rsidRPr="00122CD3">
      <w:rPr>
        <w:rFonts w:eastAsia="Times New Roman"/>
        <w:sz w:val="20"/>
        <w:szCs w:val="20"/>
        <w:lang w:val="ru-RU" w:eastAsia="ru-RU"/>
      </w:rPr>
      <w:tab/>
      <w:t xml:space="preserve">Страна </w:t>
    </w:r>
    <w:r w:rsidR="007B7B5F" w:rsidRPr="00122CD3">
      <w:rPr>
        <w:rFonts w:eastAsia="Times New Roman"/>
        <w:sz w:val="20"/>
        <w:szCs w:val="20"/>
        <w:lang w:val="ru-RU" w:eastAsia="ru-RU"/>
      </w:rPr>
      <w:fldChar w:fldCharType="begin"/>
    </w:r>
    <w:r w:rsidR="007B7B5F" w:rsidRPr="00122CD3">
      <w:rPr>
        <w:rFonts w:eastAsia="Times New Roman"/>
        <w:sz w:val="20"/>
        <w:szCs w:val="20"/>
        <w:lang w:val="ru-RU" w:eastAsia="ru-RU"/>
      </w:rPr>
      <w:instrText xml:space="preserve"> PAGE </w:instrText>
    </w:r>
    <w:r w:rsidR="007B7B5F" w:rsidRPr="00122CD3">
      <w:rPr>
        <w:rFonts w:eastAsia="Times New Roman"/>
        <w:sz w:val="20"/>
        <w:szCs w:val="20"/>
        <w:lang w:val="ru-RU" w:eastAsia="ru-RU"/>
      </w:rPr>
      <w:fldChar w:fldCharType="separate"/>
    </w:r>
    <w:r>
      <w:rPr>
        <w:rFonts w:eastAsia="Times New Roman"/>
        <w:noProof/>
        <w:sz w:val="20"/>
        <w:szCs w:val="20"/>
        <w:lang w:val="ru-RU" w:eastAsia="ru-RU"/>
      </w:rPr>
      <w:t>2</w:t>
    </w:r>
    <w:r w:rsidR="007B7B5F" w:rsidRPr="00122CD3">
      <w:rPr>
        <w:rFonts w:eastAsia="Times New Roman"/>
        <w:sz w:val="20"/>
        <w:szCs w:val="20"/>
        <w:lang w:val="ru-RU" w:eastAsia="ru-RU"/>
      </w:rPr>
      <w:fldChar w:fldCharType="end"/>
    </w:r>
    <w:r w:rsidR="007B7B5F" w:rsidRPr="00122CD3">
      <w:rPr>
        <w:rFonts w:eastAsia="Times New Roman"/>
        <w:sz w:val="20"/>
        <w:szCs w:val="20"/>
        <w:lang w:val="ru-RU" w:eastAsia="ru-RU"/>
      </w:rPr>
      <w:t xml:space="preserve"> oд </w:t>
    </w:r>
    <w:r w:rsidR="007B7B5F" w:rsidRPr="00122CD3">
      <w:rPr>
        <w:rFonts w:eastAsia="Times New Roman"/>
        <w:sz w:val="20"/>
        <w:szCs w:val="20"/>
        <w:lang w:val="ru-RU" w:eastAsia="ru-RU"/>
      </w:rPr>
      <w:fldChar w:fldCharType="begin"/>
    </w:r>
    <w:r w:rsidR="007B7B5F" w:rsidRPr="00122CD3">
      <w:rPr>
        <w:rFonts w:eastAsia="Times New Roman"/>
        <w:sz w:val="20"/>
        <w:szCs w:val="20"/>
        <w:lang w:val="ru-RU" w:eastAsia="ru-RU"/>
      </w:rPr>
      <w:instrText xml:space="preserve"> NUMPAGES  </w:instrText>
    </w:r>
    <w:r w:rsidR="007B7B5F" w:rsidRPr="00122CD3">
      <w:rPr>
        <w:rFonts w:eastAsia="Times New Roman"/>
        <w:sz w:val="20"/>
        <w:szCs w:val="20"/>
        <w:lang w:val="ru-RU" w:eastAsia="ru-RU"/>
      </w:rPr>
      <w:fldChar w:fldCharType="separate"/>
    </w:r>
    <w:r>
      <w:rPr>
        <w:rFonts w:eastAsia="Times New Roman"/>
        <w:noProof/>
        <w:sz w:val="20"/>
        <w:szCs w:val="20"/>
        <w:lang w:val="ru-RU" w:eastAsia="ru-RU"/>
      </w:rPr>
      <w:t>18</w:t>
    </w:r>
    <w:r w:rsidR="007B7B5F"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76AFB" w14:textId="77777777" w:rsidR="00B72316" w:rsidRDefault="00B72316" w:rsidP="00431654">
      <w:pPr>
        <w:spacing w:after="0"/>
      </w:pPr>
      <w:r>
        <w:separator/>
      </w:r>
    </w:p>
  </w:footnote>
  <w:footnote w:type="continuationSeparator" w:id="0">
    <w:p w14:paraId="531897A4" w14:textId="77777777" w:rsidR="00B72316" w:rsidRDefault="00B72316"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48B9C343" w:rsidR="007B7B5F" w:rsidRPr="00941235" w:rsidRDefault="007B7B5F" w:rsidP="00923AC7">
    <w:pPr>
      <w:pStyle w:val="Header"/>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 xml:space="preserve">Прилог 17 Упутства </w:t>
    </w:r>
    <w:r w:rsidRPr="00941235">
      <w:rPr>
        <w:i/>
        <w:color w:val="808080" w:themeColor="background1" w:themeShade="80"/>
        <w:sz w:val="20"/>
        <w:szCs w:val="20"/>
      </w:rPr>
      <w:t>UP</w:t>
    </w:r>
    <w:r w:rsidRPr="007A2B61">
      <w:rPr>
        <w:i/>
        <w:color w:val="808080" w:themeColor="background1" w:themeShade="80"/>
        <w:sz w:val="20"/>
        <w:szCs w:val="20"/>
        <w:lang w:val="ru-RU"/>
      </w:rPr>
      <w:t>-52.</w:t>
    </w:r>
    <w:r w:rsidR="003D1AF7" w:rsidRPr="007A2B61">
      <w:rPr>
        <w:i/>
        <w:color w:val="808080" w:themeColor="background1" w:themeShade="80"/>
        <w:sz w:val="20"/>
        <w:szCs w:val="20"/>
        <w:lang w:val="ru-RU"/>
      </w:rPr>
      <w:t>00</w:t>
    </w:r>
    <w:r w:rsidRPr="007A2B61">
      <w:rPr>
        <w:i/>
        <w:color w:val="808080" w:themeColor="background1" w:themeShade="80"/>
        <w:sz w:val="20"/>
        <w:szCs w:val="20"/>
        <w:lang w:val="ru-RU"/>
      </w:rPr>
      <w:t>_</w:t>
    </w:r>
    <w:r w:rsidR="00771B12">
      <w:rPr>
        <w:i/>
        <w:color w:val="808080" w:themeColor="background1" w:themeShade="80"/>
        <w:sz w:val="20"/>
        <w:szCs w:val="20"/>
        <w:lang w:val="ru-RU"/>
      </w:rPr>
      <w:t>09.01-001</w:t>
    </w:r>
    <w:r w:rsidRPr="00941235">
      <w:rPr>
        <w:i/>
        <w:color w:val="808080" w:themeColor="background1" w:themeShade="80"/>
        <w:sz w:val="20"/>
        <w:szCs w:val="20"/>
        <w:lang w:val="ru-RU"/>
      </w:rPr>
      <w:t xml:space="preserve">: Управљање извођачима, Верзија </w:t>
    </w:r>
    <w:r w:rsidRPr="00941235">
      <w:rPr>
        <w:i/>
        <w:color w:val="808080" w:themeColor="background1" w:themeShade="80"/>
        <w:sz w:val="20"/>
        <w:szCs w:val="20"/>
        <w:lang w:val="sr-Latn-RS"/>
      </w:rPr>
      <w:t>1</w:t>
    </w:r>
    <w:r w:rsidR="007A2B61">
      <w:rPr>
        <w:i/>
        <w:color w:val="808080" w:themeColor="background1" w:themeShade="80"/>
        <w:sz w:val="20"/>
        <w:szCs w:val="20"/>
        <w:lang w:val="ru-RU"/>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36BA79DA" w:rsidR="007B7B5F" w:rsidRPr="007A2B61" w:rsidRDefault="007B7B5F" w:rsidP="00923AC7">
    <w:pPr>
      <w:pStyle w:val="Header"/>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 xml:space="preserve">Прилог 17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sidR="00F23093">
      <w:rPr>
        <w:i/>
        <w:color w:val="808080" w:themeColor="background1" w:themeShade="80"/>
        <w:sz w:val="20"/>
        <w:szCs w:val="20"/>
        <w:lang w:val="sr-Latn-RS"/>
      </w:rPr>
      <w:t>00</w:t>
    </w:r>
    <w:r w:rsidRPr="00696717">
      <w:rPr>
        <w:i/>
        <w:color w:val="808080" w:themeColor="background1" w:themeShade="80"/>
        <w:sz w:val="20"/>
        <w:szCs w:val="20"/>
        <w:lang w:val="sr-Latn-RS"/>
      </w:rPr>
      <w:t>_</w:t>
    </w:r>
    <w:r w:rsidR="00F23093">
      <w:rPr>
        <w:i/>
        <w:color w:val="808080" w:themeColor="background1" w:themeShade="80"/>
        <w:sz w:val="20"/>
        <w:szCs w:val="20"/>
        <w:lang w:val="sr-Latn-RS"/>
      </w:rPr>
      <w:t>0</w:t>
    </w:r>
    <w:r w:rsidR="001F47FF">
      <w:rPr>
        <w:i/>
        <w:color w:val="808080" w:themeColor="background1" w:themeShade="80"/>
        <w:sz w:val="20"/>
        <w:szCs w:val="20"/>
        <w:lang w:val="ru-RU"/>
      </w:rPr>
      <w:t>9.01-001</w:t>
    </w:r>
    <w:r w:rsidRPr="00696717">
      <w:rPr>
        <w:i/>
        <w:color w:val="808080" w:themeColor="background1" w:themeShade="80"/>
        <w:sz w:val="20"/>
        <w:szCs w:val="20"/>
        <w:lang w:val="ru-RU"/>
      </w:rPr>
      <w:t xml:space="preserve">: Управљање извођачима, </w:t>
    </w:r>
    <w:r w:rsidRPr="00696717">
      <w:rPr>
        <w:i/>
        <w:color w:val="808080" w:themeColor="background1" w:themeShade="80"/>
        <w:sz w:val="20"/>
        <w:szCs w:val="20"/>
        <w:lang w:val="sr-Cyrl-RS"/>
      </w:rPr>
      <w:t>В</w:t>
    </w:r>
    <w:r w:rsidR="007A2B61">
      <w:rPr>
        <w:i/>
        <w:color w:val="808080" w:themeColor="background1" w:themeShade="80"/>
        <w:sz w:val="20"/>
        <w:szCs w:val="20"/>
        <w:lang w:val="ru-RU"/>
      </w:rPr>
      <w:t>ерзија 1.</w:t>
    </w:r>
    <w:r w:rsidR="007A2B61">
      <w:rPr>
        <w:i/>
        <w:color w:val="808080" w:themeColor="background1" w:themeShade="80"/>
        <w:sz w:val="20"/>
        <w:szCs w:val="20"/>
        <w:lang w:val="sr-Latn-R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600B"/>
    <w:rsid w:val="002E0C23"/>
    <w:rsid w:val="002E3160"/>
    <w:rsid w:val="002E4A0C"/>
    <w:rsid w:val="002E504E"/>
    <w:rsid w:val="002E56BA"/>
    <w:rsid w:val="002E65E8"/>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C46C7"/>
    <w:rsid w:val="005D551F"/>
    <w:rsid w:val="005D5764"/>
    <w:rsid w:val="005D5DE5"/>
    <w:rsid w:val="005E7CEF"/>
    <w:rsid w:val="005F30DD"/>
    <w:rsid w:val="005F5E77"/>
    <w:rsid w:val="005F66F0"/>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7057C"/>
    <w:rsid w:val="0087701A"/>
    <w:rsid w:val="00885113"/>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50FAF"/>
    <w:rsid w:val="00A5237C"/>
    <w:rsid w:val="00A638D8"/>
    <w:rsid w:val="00A65F45"/>
    <w:rsid w:val="00A741AC"/>
    <w:rsid w:val="00A777BA"/>
    <w:rsid w:val="00A81F91"/>
    <w:rsid w:val="00A82066"/>
    <w:rsid w:val="00A97654"/>
    <w:rsid w:val="00AA32A3"/>
    <w:rsid w:val="00AB2C7B"/>
    <w:rsid w:val="00AB6EB0"/>
    <w:rsid w:val="00AB7061"/>
    <w:rsid w:val="00AC11A5"/>
    <w:rsid w:val="00AC1A82"/>
    <w:rsid w:val="00AC461C"/>
    <w:rsid w:val="00AE20B8"/>
    <w:rsid w:val="00AE60CB"/>
    <w:rsid w:val="00B04F84"/>
    <w:rsid w:val="00B0592A"/>
    <w:rsid w:val="00B079B7"/>
    <w:rsid w:val="00B3470F"/>
    <w:rsid w:val="00B37043"/>
    <w:rsid w:val="00B536F3"/>
    <w:rsid w:val="00B6517B"/>
    <w:rsid w:val="00B658DD"/>
    <w:rsid w:val="00B72316"/>
    <w:rsid w:val="00B7385B"/>
    <w:rsid w:val="00B75B4F"/>
    <w:rsid w:val="00B76011"/>
    <w:rsid w:val="00B81F44"/>
    <w:rsid w:val="00B84657"/>
    <w:rsid w:val="00B860ED"/>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6171F8"/>
    <w:pPr>
      <w:tabs>
        <w:tab w:val="left" w:pos="660"/>
        <w:tab w:val="right" w:leader="dot" w:pos="10195"/>
      </w:tabs>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Párrafo de lista1"/>
    <w:basedOn w:val="Normal"/>
    <w:link w:val="ListParagraphChar"/>
    <w:uiPriority w:val="99"/>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CommentSubject">
    <w:name w:val="annotation subject"/>
    <w:basedOn w:val="CommentText"/>
    <w:next w:val="CommentText"/>
    <w:link w:val="CommentSubjectChar"/>
    <w:uiPriority w:val="99"/>
    <w:semiHidden/>
    <w:unhideWhenUsed/>
    <w:rsid w:val="00650121"/>
    <w:rPr>
      <w:b/>
      <w:bCs/>
    </w:rPr>
  </w:style>
  <w:style w:type="character" w:customStyle="1" w:styleId="CommentSubjectChar">
    <w:name w:val="Comment Subject Char"/>
    <w:basedOn w:val="CommentTextChar"/>
    <w:link w:val="CommentSubject"/>
    <w:uiPriority w:val="99"/>
    <w:semiHidden/>
    <w:rsid w:val="00650121"/>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84369E"/>
    <w:rPr>
      <w:color w:val="800080" w:themeColor="followedHyperlink"/>
      <w:u w:val="single"/>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b3ef1202-6da4-439b-bd9c-0f518e8f8abc"/>
    <ds:schemaRef ds:uri="http://www.w3.org/XML/1998/namespace"/>
    <ds:schemaRef ds:uri="http://purl.org/dc/dcmitype/"/>
  </ds:schemaRefs>
</ds:datastoreItem>
</file>

<file path=customXml/itemProps5.xml><?xml version="1.0" encoding="utf-8"?>
<ds:datastoreItem xmlns:ds="http://schemas.openxmlformats.org/officeDocument/2006/customXml" ds:itemID="{C6F5810C-3FAB-4906-AE44-A6ECE253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8424</Words>
  <Characters>48018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Prilog 1 Standarda SA-08.03.02-001_v9.0 _sr-za potpisivanje</vt:lpstr>
    </vt:vector>
  </TitlesOfParts>
  <Company>NIS</Company>
  <LinksUpToDate>false</LinksUpToDate>
  <CharactersWithSpaces>56330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Veselka Mitic</cp:lastModifiedBy>
  <cp:revision>2</cp:revision>
  <cp:lastPrinted>2017-05-31T11:13:00Z</cp:lastPrinted>
  <dcterms:created xsi:type="dcterms:W3CDTF">2026-03-18T09:08:00Z</dcterms:created>
  <dcterms:modified xsi:type="dcterms:W3CDTF">2026-03-18T09:08:00Z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7097ff50-8219-4785-a972-0f43ea325a06</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